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zástupcovia partnerských spoločností Slovak Solar s. r. o., Nábrežie Slobody 1926/4 Púchov 020 01, IČO: 36 352 055, OR OS Trenčín, oddiel SRO, vložka číslo: 16517/R (ďalej len “Slovak Solar”)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zástupcovia partnerských spoločností</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Slovak Solar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Obchodné vzťahy</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Názov obchodného partnera, údaje o štatutároch alebo zástupcoch, mená a ich priezviská, prevody tovaru a majetku</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Slovak Solar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Príprava a uzatváranie zmlúv na dodanie služieb</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č.233/1995 Z.z.</w:t>
            </w:r>
            <w:r w:rsidDel="00000000" w:rsidR="00000000" w:rsidRPr="00000000">
              <w:rPr>
                <w:rtl w:val="0"/>
              </w:rPr>
              <w:t xml:space="preserve"> Zákon Národnej rady Slovenskej republiky o súdnych exekútoroch a exekučnej činnosti (Exekučný poriadok) a o zmene a doplnení ďalších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č.395/2002 Z.z.</w:t>
            </w:r>
            <w:r w:rsidDel="00000000" w:rsidR="00000000" w:rsidRPr="00000000">
              <w:rPr>
                <w:rtl w:val="0"/>
              </w:rPr>
              <w:t xml:space="preserve"> Zákon o archívoch a registratúrach a o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bl>
    <w:p w:rsidR="00000000" w:rsidDel="00000000" w:rsidP="00000000" w:rsidRDefault="00000000" w:rsidRPr="00000000" w14:paraId="00000023">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Slovak Solar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Príprava a uzatváranie zmlúv na dodanie služieb</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EKIS, s.r.o.</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KODAS Žilina, s.r.o.</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KROS a.s.</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Lenka Bačíková</w:t>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34">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Slovak Solar,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Uzatváranie zmlúv</w:t>
            </w:r>
          </w:p>
        </w:tc>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 dobu 10 rokov</w:t>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41">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62">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info@slovaksolar.com</w:t>
        </w:r>
      </w:hyperlink>
      <w:r w:rsidDel="00000000" w:rsidR="00000000" w:rsidRPr="00000000">
        <w:rPr>
          <w:rtl w:val="0"/>
        </w:rPr>
        <w:t xml:space="preserve">.</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68">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info@slovaksolar.com</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lovaksolar.com" TargetMode="External"/><Relationship Id="rId7" Type="http://schemas.openxmlformats.org/officeDocument/2006/relationships/hyperlink" Target="mailto:info@slovaksol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